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sz w:val="28"/>
          <w:szCs w:val="28"/>
        </w:rPr>
      </w:pPr>
      <w:r>
        <w:rPr>
          <w:b w:val="1"/>
          <w:bCs w:val="1"/>
          <w:sz w:val="28"/>
          <w:szCs w:val="28"/>
          <w:rtl w:val="0"/>
          <w:lang w:val="en-US"/>
        </w:rPr>
        <w:t>Stow Town Council meeting April 2026. Report from ward district councillor Dilys Neill.</w:t>
      </w:r>
    </w:p>
    <w:p>
      <w:pPr>
        <w:pStyle w:val="Body"/>
        <w:rPr>
          <w:b w:val="1"/>
          <w:bCs w:val="1"/>
          <w:sz w:val="28"/>
          <w:szCs w:val="28"/>
        </w:rPr>
      </w:pPr>
    </w:p>
    <w:p>
      <w:pPr>
        <w:pStyle w:val="Body"/>
        <w:rPr>
          <w:sz w:val="28"/>
          <w:szCs w:val="28"/>
        </w:rPr>
      </w:pPr>
      <w:r>
        <w:rPr>
          <w:sz w:val="28"/>
          <w:szCs w:val="28"/>
          <w:rtl w:val="0"/>
          <w:lang w:val="en-US"/>
        </w:rPr>
        <w:t xml:space="preserve">You should all have received a copy of Cotswold Together which gives an update of what is going on at CDC. </w:t>
      </w:r>
    </w:p>
    <w:p>
      <w:pPr>
        <w:pStyle w:val="Body"/>
        <w:rPr>
          <w:sz w:val="28"/>
          <w:szCs w:val="28"/>
        </w:rPr>
      </w:pPr>
    </w:p>
    <w:p>
      <w:pPr>
        <w:pStyle w:val="Body"/>
        <w:rPr>
          <w:sz w:val="28"/>
          <w:szCs w:val="28"/>
          <w:u w:val="single"/>
        </w:rPr>
      </w:pPr>
      <w:r>
        <w:rPr>
          <w:sz w:val="28"/>
          <w:szCs w:val="28"/>
          <w:u w:val="single"/>
          <w:rtl w:val="0"/>
          <w:lang w:val="en-US"/>
        </w:rPr>
        <w:t>Local Plan update.</w:t>
      </w:r>
    </w:p>
    <w:p>
      <w:pPr>
        <w:pStyle w:val="Body"/>
        <w:rPr>
          <w:sz w:val="28"/>
          <w:szCs w:val="28"/>
        </w:rPr>
      </w:pPr>
      <w:r>
        <w:rPr>
          <w:sz w:val="28"/>
          <w:szCs w:val="28"/>
          <w:rtl w:val="0"/>
          <w:lang w:val="en-US"/>
        </w:rPr>
        <w:t>The council received more than 3,500 responses to the consultation on the local plan. There is a lot of concern about the Government</w:t>
      </w:r>
      <w:r>
        <w:rPr>
          <w:sz w:val="28"/>
          <w:szCs w:val="28"/>
          <w:rtl w:val="0"/>
          <w:lang w:val="en-US"/>
        </w:rPr>
        <w:t>’</w:t>
      </w:r>
      <w:r>
        <w:rPr>
          <w:sz w:val="28"/>
          <w:szCs w:val="28"/>
          <w:rtl w:val="0"/>
          <w:lang w:val="en-US"/>
        </w:rPr>
        <w:t>s housing target of over 1,000 targets to be built in Cotswold District every year. Particular issues are infrastructure (including roads, transport, schools , health care provision) as well as the character of our towns and villages and the effect of large housing developments on the national landscape. The draft local plan will be published later in the summer. We have had visits from Juliet Layton, cabinet member for the local plan together with the senior officer dealing with the plan and Mike Evemy, leader of the council. This is in response to a letter written to CDC by the town council expressing disappointment at the lack of any targets for Stow in the plan and the failure to address issues including parking and lack of affordable housing which were raised during the Neighbourhood Plan process. We are waiting some further feedback.</w:t>
      </w:r>
    </w:p>
    <w:p>
      <w:pPr>
        <w:pStyle w:val="Body"/>
        <w:rPr>
          <w:sz w:val="28"/>
          <w:szCs w:val="28"/>
        </w:rPr>
      </w:pPr>
    </w:p>
    <w:p>
      <w:pPr>
        <w:pStyle w:val="Body"/>
        <w:rPr>
          <w:sz w:val="28"/>
          <w:szCs w:val="28"/>
          <w:u w:val="single"/>
        </w:rPr>
      </w:pPr>
      <w:r>
        <w:rPr>
          <w:sz w:val="28"/>
          <w:szCs w:val="28"/>
          <w:u w:val="single"/>
          <w:rtl w:val="0"/>
          <w:lang w:val="en-US"/>
        </w:rPr>
        <w:t>Local Government reorganisation</w:t>
      </w:r>
    </w:p>
    <w:p>
      <w:pPr>
        <w:pStyle w:val="Body"/>
        <w:rPr>
          <w:sz w:val="28"/>
          <w:szCs w:val="28"/>
        </w:rPr>
      </w:pPr>
      <w:r>
        <w:rPr>
          <w:sz w:val="28"/>
          <w:szCs w:val="28"/>
          <w:rtl w:val="0"/>
          <w:lang w:val="en-US"/>
        </w:rPr>
        <w:t>We should hear the government</w:t>
      </w:r>
      <w:r>
        <w:rPr>
          <w:sz w:val="28"/>
          <w:szCs w:val="28"/>
          <w:rtl w:val="0"/>
          <w:lang w:val="en-US"/>
        </w:rPr>
        <w:t>’</w:t>
      </w:r>
      <w:r>
        <w:rPr>
          <w:sz w:val="28"/>
          <w:szCs w:val="28"/>
          <w:rtl w:val="0"/>
          <w:lang w:val="en-US"/>
        </w:rPr>
        <w:t>s decision on the plan for reform in Gloucestershire and whether this will mean one or two unitary authorities before the summer parliamentary recess. We may then get more information about the role of town &amp; parish councils and the plans for neighbourhood forums</w:t>
      </w:r>
    </w:p>
    <w:p>
      <w:pPr>
        <w:pStyle w:val="Body"/>
        <w:rPr>
          <w:sz w:val="28"/>
          <w:szCs w:val="28"/>
        </w:rPr>
      </w:pPr>
    </w:p>
    <w:p>
      <w:pPr>
        <w:pStyle w:val="Body"/>
        <w:rPr>
          <w:sz w:val="28"/>
          <w:szCs w:val="28"/>
          <w:u w:val="single"/>
        </w:rPr>
      </w:pPr>
      <w:r>
        <w:rPr>
          <w:sz w:val="28"/>
          <w:szCs w:val="28"/>
          <w:u w:val="single"/>
          <w:rtl w:val="0"/>
          <w:lang w:val="en-US"/>
        </w:rPr>
        <w:t>Stow Fair</w:t>
      </w:r>
    </w:p>
    <w:p>
      <w:pPr>
        <w:pStyle w:val="Body"/>
        <w:rPr>
          <w:sz w:val="28"/>
          <w:szCs w:val="28"/>
        </w:rPr>
      </w:pPr>
      <w:r>
        <w:rPr>
          <w:sz w:val="28"/>
          <w:szCs w:val="28"/>
          <w:rtl w:val="0"/>
          <w:lang w:val="en-US"/>
        </w:rPr>
        <w:t>We have had two meetings of the safety advisory group and heard details of policing, highways management etc. On the fair day, officers from the planning and enforcement team at CDC will attend to see if any planning regulations are being contravened and whether there are grounds for taking out a further injunction. We have a list of contact details for different organisations. There is a plan for dealing with human waste; it should be reported to CDC by email using What 3 Words to identify the site. I am waiting for confirmation that CDC will fund portable toilets in King Georges</w:t>
      </w:r>
      <w:r>
        <w:rPr>
          <w:sz w:val="28"/>
          <w:szCs w:val="28"/>
          <w:rtl w:val="0"/>
          <w:lang w:val="en-US"/>
        </w:rPr>
        <w:t>’</w:t>
      </w:r>
      <w:r>
        <w:rPr>
          <w:sz w:val="28"/>
          <w:szCs w:val="28"/>
          <w:rtl w:val="0"/>
          <w:lang w:val="en-US"/>
        </w:rPr>
        <w:t>s Field again</w:t>
      </w:r>
    </w:p>
    <w:p>
      <w:pPr>
        <w:pStyle w:val="Body"/>
        <w:rPr>
          <w:sz w:val="28"/>
          <w:szCs w:val="28"/>
        </w:rPr>
      </w:pPr>
    </w:p>
    <w:p>
      <w:pPr>
        <w:pStyle w:val="Body"/>
        <w:rPr>
          <w:sz w:val="28"/>
          <w:szCs w:val="28"/>
          <w:u w:val="single"/>
        </w:rPr>
      </w:pPr>
      <w:r>
        <w:rPr>
          <w:sz w:val="28"/>
          <w:szCs w:val="28"/>
          <w:u w:val="single"/>
          <w:rtl w:val="0"/>
          <w:lang w:val="en-US"/>
        </w:rPr>
        <w:t>Toilets</w:t>
      </w:r>
    </w:p>
    <w:p>
      <w:pPr>
        <w:pStyle w:val="Body"/>
        <w:rPr>
          <w:sz w:val="28"/>
          <w:szCs w:val="28"/>
        </w:rPr>
      </w:pPr>
      <w:r>
        <w:rPr>
          <w:sz w:val="28"/>
          <w:szCs w:val="28"/>
          <w:rtl w:val="0"/>
          <w:lang w:val="en-US"/>
        </w:rPr>
        <w:t>Cllr Evemy visited the Maugersbury Road carpark and understands how far it is from the toilet block in the town centre. I doubt that CDC will reopen the block but they would be prepared to sell it.</w:t>
      </w:r>
    </w:p>
    <w:p>
      <w:pPr>
        <w:pStyle w:val="Body"/>
        <w:rPr>
          <w:sz w:val="28"/>
          <w:szCs w:val="28"/>
        </w:rPr>
      </w:pPr>
    </w:p>
    <w:p>
      <w:pPr>
        <w:pStyle w:val="Body"/>
        <w:rPr>
          <w:sz w:val="28"/>
          <w:szCs w:val="28"/>
          <w:u w:val="single"/>
        </w:rPr>
      </w:pPr>
    </w:p>
    <w:p>
      <w:pPr>
        <w:pStyle w:val="Body"/>
        <w:rPr>
          <w:sz w:val="28"/>
          <w:szCs w:val="28"/>
          <w:u w:val="single"/>
        </w:rPr>
      </w:pPr>
      <w:r>
        <w:rPr>
          <w:sz w:val="28"/>
          <w:szCs w:val="28"/>
          <w:u w:val="single"/>
          <w:rtl w:val="0"/>
          <w:lang w:val="en-US"/>
        </w:rPr>
        <w:t>Fraud prevention</w:t>
      </w:r>
    </w:p>
    <w:p>
      <w:pPr>
        <w:pStyle w:val="Body"/>
        <w:rPr>
          <w:sz w:val="28"/>
          <w:szCs w:val="28"/>
        </w:rPr>
      </w:pPr>
      <w:r>
        <w:rPr>
          <w:sz w:val="28"/>
          <w:szCs w:val="28"/>
          <w:rtl w:val="0"/>
          <w:lang w:val="en-US"/>
        </w:rPr>
        <w:t>There is a new initiative to alert people to prevention and reporting of fraud. It is called Glass Jar and there is a website where people can get advice and report scams</w:t>
      </w:r>
    </w:p>
    <w:p>
      <w:pPr>
        <w:pStyle w:val="Body"/>
        <w:rPr>
          <w:sz w:val="28"/>
          <w:szCs w:val="28"/>
        </w:rPr>
      </w:pPr>
    </w:p>
    <w:p>
      <w:pPr>
        <w:pStyle w:val="Body"/>
        <w:rPr>
          <w:sz w:val="28"/>
          <w:szCs w:val="28"/>
          <w:u w:val="none"/>
        </w:rPr>
      </w:pPr>
      <w:r>
        <w:rPr>
          <w:sz w:val="28"/>
          <w:szCs w:val="28"/>
          <w:u w:val="single"/>
          <w:rtl w:val="0"/>
          <w:lang w:val="en-US"/>
        </w:rPr>
        <w:t>LIFT</w:t>
      </w:r>
    </w:p>
    <w:p>
      <w:pPr>
        <w:pStyle w:val="Body"/>
        <w:rPr>
          <w:sz w:val="28"/>
          <w:szCs w:val="28"/>
          <w:u w:val="none"/>
        </w:rPr>
      </w:pPr>
      <w:r>
        <w:rPr>
          <w:sz w:val="28"/>
          <w:szCs w:val="28"/>
          <w:u w:val="none"/>
          <w:rtl w:val="0"/>
          <w:lang w:val="en-US"/>
        </w:rPr>
        <w:t>The low income family tracker has been very successful in alerting people to claim benefits to which they may not realise they are entitled. If you know someone whom you feel may not be claiming what they are due, they should be advised to contact CDCs council tax and benefits department.</w:t>
      </w:r>
    </w:p>
    <w:p>
      <w:pPr>
        <w:pStyle w:val="Body"/>
        <w:rPr>
          <w:sz w:val="28"/>
          <w:szCs w:val="28"/>
          <w:u w:val="none"/>
        </w:rPr>
      </w:pPr>
    </w:p>
    <w:p>
      <w:pPr>
        <w:pStyle w:val="Body"/>
        <w:rPr>
          <w:sz w:val="28"/>
          <w:szCs w:val="28"/>
          <w:u w:val="none"/>
        </w:rPr>
      </w:pPr>
      <w:r>
        <w:rPr>
          <w:sz w:val="28"/>
          <w:szCs w:val="28"/>
          <w:u w:val="single"/>
          <w:rtl w:val="0"/>
          <w:lang w:val="en-US"/>
        </w:rPr>
        <w:t>Retrofit</w:t>
      </w:r>
    </w:p>
    <w:p>
      <w:pPr>
        <w:pStyle w:val="Body"/>
      </w:pPr>
      <w:r>
        <w:rPr>
          <w:sz w:val="28"/>
          <w:szCs w:val="28"/>
          <w:u w:val="none"/>
          <w:rtl w:val="0"/>
          <w:lang w:val="en-US"/>
        </w:rPr>
        <w:t>As part of the council</w:t>
      </w:r>
      <w:r>
        <w:rPr>
          <w:sz w:val="28"/>
          <w:szCs w:val="28"/>
          <w:u w:val="none"/>
          <w:rtl w:val="0"/>
          <w:lang w:val="en-US"/>
        </w:rPr>
        <w:t>’</w:t>
      </w:r>
      <w:r>
        <w:rPr>
          <w:sz w:val="28"/>
          <w:szCs w:val="28"/>
          <w:u w:val="none"/>
          <w:rtl w:val="0"/>
          <w:lang w:val="en-US"/>
        </w:rPr>
        <w:t>s commitment to tackling climate change, our retrofit officer Justine Mallinson has had her contract extended until August. She is available to advise residents on how to improve the energy performance of heir homes.</w:t>
      </w:r>
      <w:r>
        <w:rPr>
          <w:sz w:val="28"/>
          <w:szCs w:val="28"/>
          <w:u w:val="single"/>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